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360" w:lineRule="auto"/>
        <w:jc w:val="left"/>
        <w:textAlignment w:val="auto"/>
        <w:outlineLvl w:val="0"/>
        <w:rPr>
          <w:rFonts w:hint="eastAsia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  <w:t>直溪镇巨村村2022-2023年池塘标准化改造工程项目招标公告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1、项目名称：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直溪镇巨村村2022-2023年池塘标准化改造工程项目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2、招标人：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常州市金坛区直溪镇巨村村村民委员会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3、项目编号：zxzb2022139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、工程概况： 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  <w:t>（1）工程地点：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eastAsia="zh-CN" w:bidi="ar"/>
        </w:rPr>
        <w:t>金坛区直溪镇；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bidi="ar"/>
        </w:rPr>
        <w:t>（2）质量要求：合格；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bidi="ar"/>
        </w:rPr>
        <w:t>（3）施工工期：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45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bidi="ar"/>
        </w:rPr>
        <w:t>日历天；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shd w:val="clear" w:color="auto" w:fill="FFFFFF"/>
          <w:lang w:bidi="ar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  <w:t>4）招标范围：具体详见工程量清单；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  <w:t>（5）控制价：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 w:bidi="ar"/>
        </w:rPr>
        <w:t>575159.28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bidi="ar"/>
        </w:rPr>
        <w:t>元。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FFFFFF"/>
          <w:lang w:val="en-US" w:eastAsia="zh-CN" w:bidi="ar"/>
        </w:rPr>
        <w:t>（6）本项目不接受联合体。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、本项目共分为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>一个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标段、投标单位资格要求如下：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（1）投标人应具备的资质为：市政公用工程施工总承包三级及以上资质； 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（2）项目负责人具备的资质为：市政公用工程注册建造师二级（含以上）；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（3）项目负责人须无在建工程；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（4）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法律、法规规定的其他条件。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、公告时间：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日至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投标截止时间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、招标文件的获取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：网上自行下载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、确定投标人的方式：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本工程采用资格后审的方式。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投标保证金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投标保证金：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u w:val="single"/>
          <w:lang w:eastAsia="zh-CN"/>
        </w:rPr>
        <w:t>壹万壹仟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u w:val="single"/>
        </w:rPr>
        <w:t>元整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必须以现金（不接受现金支票等其他形式）的形式在开标时递交（保证金必须拿信封密封，信封袋上注明标段名称、报名企业全称并加盖报名企业公章）；否则招标人将拒绝接受其投标文件。中标单位的投标保证金在合同签订后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无息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退还，未中标单位的投标保证金当场退还。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、开标时间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（投标截止时间）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、地点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（1）开标时间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（投标截止时间）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：202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:30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（2）开标地点：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常州市金坛区市民中心C栋5楼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0504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室（常州市金坛区金山路168号）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、付款方式：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工程竣工经镇级验收合格后的当年支付至合同价款（扣除暂列金额及专业工程暂估价）的40%，第二年且完成审计后支付至审定价的70%，第三年支付至审定价的97%（上级批复的项目需项目主管部门最终竣工验收合格后），质保期满付清余款。付款前中标人需向招标人提供等额增值税发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、本工程评分办法：</w:t>
      </w:r>
      <w:r>
        <w:rPr>
          <w:rStyle w:val="9"/>
          <w:rFonts w:hint="eastAsia" w:ascii="宋体" w:hAnsi="宋体" w:eastAsia="宋体" w:cs="宋体"/>
          <w:b/>
          <w:bCs w:val="0"/>
          <w:color w:val="FF0000"/>
          <w:sz w:val="24"/>
          <w:szCs w:val="24"/>
          <w:highlight w:val="none"/>
          <w:shd w:val="clear" w:color="auto" w:fill="FFFFFF"/>
        </w:rPr>
        <w:t>执行苏建招办（2017）7号①单因素评标法一，②单因素评标法三（两种办法开标时招标人随机抽取）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、代理机构：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江苏浩宇建设工程造价咨询有限公司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受招标人委托具体负责本工程的招标代理事宜。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、招标文件售价300元/份（开标现场缴纳）。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文件售后一概不退。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 xml:space="preserve">于开标现场递交投标文件的同时支付该项费用，由招标代理统一收取并开具收据，递交的投标文件概不退还。 </w:t>
      </w:r>
    </w:p>
    <w:p>
      <w:pPr>
        <w:widowControl/>
        <w:snapToGrid w:val="0"/>
        <w:spacing w:line="400" w:lineRule="exact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tbl>
      <w:tblPr>
        <w:tblStyle w:val="7"/>
        <w:tblW w:w="106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3"/>
        <w:gridCol w:w="55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517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ind w:left="420" w:right="21" w:hanging="42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招标人：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常州市金坛区直溪镇巨村村村民委员会</w:t>
            </w:r>
          </w:p>
        </w:tc>
        <w:tc>
          <w:tcPr>
            <w:tcW w:w="551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招标代理：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江苏浩宇建设工程造价咨询有限公司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17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 址：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常州市金坛区直溪镇巨村村村民委员会</w:t>
            </w:r>
          </w:p>
        </w:tc>
        <w:tc>
          <w:tcPr>
            <w:tcW w:w="551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地 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址：常州市金坛区南环二路106号四楼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517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朱先生</w:t>
            </w:r>
          </w:p>
        </w:tc>
        <w:tc>
          <w:tcPr>
            <w:tcW w:w="551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ind w:left="420" w:right="21" w:hanging="4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联 系 人：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钱女士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517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ind w:left="420" w:right="21" w:hanging="42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 话：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18112518669</w:t>
            </w:r>
          </w:p>
        </w:tc>
        <w:tc>
          <w:tcPr>
            <w:tcW w:w="5513" w:type="dxa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spacing w:beforeAutospacing="0" w:afterAutospacing="0" w:line="460" w:lineRule="atLeas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电  话：0519-82660686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eastAsia="zh-CN"/>
              </w:rPr>
              <w:t>转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803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/15295029031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MDA4ZTQ4YmI1YzM0MDc5MDk1ZjY0NzhhYTExYWYifQ=="/>
  </w:docVars>
  <w:rsids>
    <w:rsidRoot w:val="00000000"/>
    <w:rsid w:val="1AE5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qFormat/>
    <w:uiPriority w:val="0"/>
  </w:style>
  <w:style w:type="character" w:customStyle="1" w:styleId="11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12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2023-01-19T03:14:23Z</dcterms:created>
  <dc:creator>Administrator</dc:creator>
  <cp:lastModifiedBy>雯子</cp:lastModifiedBy>
  <dcterms:modified xsi:type="dcterms:W3CDTF">2023-01-19T03:15:22Z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B5F819CE485340C7AFBDAC9C4159C09C</vt:lpwstr>
  </property>
</Properties>
</file>